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5"/>
          <w:sz w:val="32"/>
          <w:szCs w:val="32"/>
        </w:rPr>
        <w:t>五运六气简析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     中国古代思想已经说明宇宙万物由虚无、元气、阴阳气、五行气和合而成。所有有形的物质都是在气形成以后化生的。人为天地合气所化生，人体气化受两方面影响，一为神机系统，二为气立系统。而五运六气正是研究天地阴阳五行的气化规律，依据《黄帝内经》、《玄珠密语》、《天元玉册》研习五运六气，发现极少会出现超出五运六气既定规律的气候和疾病变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334510" cy="2708275"/>
            <wp:effectExtent l="0" t="0" r="8890" b="15875"/>
            <wp:docPr id="20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9" descr="IMG_26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34510" cy="2708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     人出生时天地五运六气的气立系统直接与婴儿神机系统开始联通，婴儿脏腑经络以及身体各部位，被动地被天地五运六气系统与五运六气相应的程度，从而形成人的先天体质，伴随人的一生。五运六气始终处在动态变化中，五行往往存在一定程度的失衡，所以人出生时先天体质往往阴阳五行不平衡，极少有出生时阴阳五行完全平衡的情况。当这种不平衡不是非常严重时，不会出现疾病。随着时间的推移，人不断生、长、壮、老，五运六气不断对人体施加影响，加之生活习惯、工作、情志因素，导致人体阴阳五行失衡到一定程度，人随机出现疾病。所有特定的先天体质，以后几乎是必发某些特定的疾病，根于《黄帝内经》所述：和于术数、法于阴阳、饮食有节、起居有常、不妄作劳等，能有效维持人体阴阳平衡，才能避免本身体质必发疾病的发作。 如下所示为两年运气简化结构图：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/>
        </w:rPr>
        <w:t>2024年甲辰年全年运气结构如下图：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895850" cy="2222500"/>
            <wp:effectExtent l="0" t="0" r="0" b="6350"/>
            <wp:docPr id="5" name="图片 14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4" descr="IMG_26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2222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   中运土运太过，司天太阳寒水，中运土上胜司天水，司天水不行寒令，但并非一年中司天水均不行寒令。虽然司天水为中运土所胜，但司天水力量仍强，被中运土所胜时，水的力量逐渐累计，累计到一定量时，寒气即行令。所以一年中寒气时重时不重，但太阴湿土在泉，湿气一直会很重。司天太阳寒水所致心小肠疾病减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t>2025年乙巳年全年运气结构如下图：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048885" cy="2303145"/>
            <wp:effectExtent l="0" t="0" r="18415" b="1905"/>
            <wp:docPr id="6" name="图片 15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5" descr="IMG_27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48885" cy="23031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48"/>
      </w:pPr>
      <w:r>
        <w:t>中运金运不及，司天厥阴风木，中运金上承司天木，由于中运力弱，故司天风令减半，司天厥阴风木所致脾胃病减半。少阳相火在泉，风助火势，肝胆情志系疾病多发。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202DD"/>
    <w:rsid w:val="10B202DD"/>
    <w:rsid w:val="520172C4"/>
    <w:rsid w:val="5E6C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769</Words>
  <Characters>775</Characters>
  <Lines>0</Lines>
  <Paragraphs>0</Paragraphs>
  <TotalTime>0</TotalTime>
  <ScaleCrop>false</ScaleCrop>
  <LinksUpToDate>false</LinksUpToDate>
  <CharactersWithSpaces>789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2025-06-24T02:04:00Z</dcterms:created>
  <dc:creator>QC</dc:creator>
  <cp:lastModifiedBy>ALLLLLLLex</cp:lastModifiedBy>
  <dcterms:modified xsi:type="dcterms:W3CDTF">2026-03-04T08:28:36Z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17E0C0D2AA1C445DA2A6E389FCA6CF75_11</vt:lpwstr>
  </property>
  <property fmtid="{D5CDD505-2E9C-101B-9397-08002B2CF9AE}" pid="4" name="KSOTemplateDocerSaveRecord">
    <vt:lpwstr>eyJoZGlkIjoiMzBkZjI3YWQ3ODhmZDZmMjY3N2Q0MWVlNGVjMWE5NWIiLCJ1c2VySWQiOiIzMDgxODA5NCJ9</vt:lpwstr>
  </property>
</Properties>
</file>